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he superfici immobili soggetti a tariff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he superfici immobili soggetti a tariff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